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color w:val="0F7A5C"/>
          <w:sz w:val="48"/>
        </w:rPr>
        <w:t>Visselblåsarpolicy</w:t>
      </w:r>
    </w:p>
    <w:p>
      <w:pPr>
        <w:spacing w:after="480"/>
      </w:pPr>
      <w:r>
        <w:rPr>
          <w:rFonts w:ascii="Arial" w:hAnsi="Arial"/>
          <w:b/>
          <w:color w:val="5B6B64"/>
          <w:sz w:val="19"/>
        </w:rPr>
        <w:t>MALL FÖR RAPPORTERING AV MISSFÖRHÅLLANDEN ENLIGT VISSELBLÅSARLAGEN (2021:890)</w:t>
      </w:r>
    </w:p>
    <w:p>
      <w:pPr>
        <w:spacing w:after="480"/>
        <w:ind w:left="360" w:right="360"/>
      </w:pPr>
      <w:r>
        <w:rPr>
          <w:i/>
          <w:color w:val="B3862F"/>
          <w:sz w:val="20"/>
        </w:rPr>
        <w:t>[INSTRUKTION: Denna policy-mall är framtagen av Novro för att hjälpa ditt företag att uppfylla lagkraven i EU:s visselblåsardirektiv och den svenska visselblåsarlagen. Innan policyn antas och distribueras i organisationen, gå igenom dokumentet och ersätt alla uppgifter inom klamrar [t.ex. Företagsnamn] med era egna uppgifter. Ta sedan bort denna instruktionsruta.]</w:t>
      </w:r>
    </w:p>
    <w:p>
      <w:pPr>
        <w:keepNext/>
        <w:spacing w:before="360" w:after="160"/>
      </w:pPr>
      <w:r>
        <w:rPr>
          <w:b/>
          <w:color w:val="0F7A5C"/>
          <w:sz w:val="28"/>
        </w:rPr>
        <w:t>1. Syfte och bakgrund</w:t>
      </w:r>
    </w:p>
    <w:p>
      <w:pPr>
        <w:spacing w:after="160" w:line="276" w:lineRule="auto"/>
      </w:pPr>
      <w:r>
        <w:rPr>
          <w:i w:val="0"/>
        </w:rPr>
        <w:t>Syftet med denna policy är att uppmuntra medarbetare och andra intressenter att rapportera allvarliga missförhållanden på arbetsplatsen samt att säkerställa att den som rapporterar (visselblåsaren) skyddas mot alla former av repressalier. Policyn är utformad för att uppfylla kraven i den svenska visselblåsarlagen (lag 2021:890 om skydd för personer som rapporterar om missförhållanden) samt EU:s visselblåsardirektiv.</w:t>
      </w:r>
    </w:p>
    <w:p>
      <w:pPr>
        <w:spacing w:after="160" w:line="276" w:lineRule="auto"/>
      </w:pPr>
      <w:r>
        <w:rPr>
          <w:i w:val="0"/>
        </w:rPr>
        <w:t>[Företagsnamn] strävar efter ett öppet, transparent och etiskt arbetsklimat där oegentligheter lyfts fram i ljuset. Vi vill att medarbetare ska känna sig trygga med att slå larm om något inte står rätt till.</w:t>
      </w:r>
    </w:p>
    <w:p>
      <w:pPr>
        <w:keepNext/>
        <w:spacing w:before="360" w:after="160"/>
      </w:pPr>
      <w:r>
        <w:rPr>
          <w:b/>
          <w:color w:val="0F7A5C"/>
          <w:sz w:val="28"/>
        </w:rPr>
        <w:t>2. Vem omfattas av policyn?</w:t>
      </w:r>
    </w:p>
    <w:p>
      <w:pPr>
        <w:spacing w:after="160" w:line="276" w:lineRule="auto"/>
      </w:pPr>
      <w:r>
        <w:rPr>
          <w:i w:val="0"/>
        </w:rPr>
        <w:t>Det rättsliga skyddet mot repressalier och diskriminering enligt visselblåsarlagen gäller för personer som på något sätt är eller har varit verksamma i anslutning till [Företagsnamn], inklusive:</w:t>
      </w:r>
    </w:p>
    <w:p>
      <w:pPr>
        <w:pStyle w:val="ListBullet"/>
        <w:spacing w:after="80" w:line="276" w:lineRule="auto"/>
      </w:pPr>
      <w:r>
        <w:t>Anställda (tillsvidareanställda, provanställda, visstidsanställda samt timanställda).</w:t>
      </w:r>
    </w:p>
    <w:p>
      <w:pPr>
        <w:pStyle w:val="ListBullet"/>
        <w:spacing w:after="80" w:line="276" w:lineRule="auto"/>
      </w:pPr>
      <w:r>
        <w:t>Praktikanter, volontärer och arbetssökande.</w:t>
      </w:r>
    </w:p>
    <w:p>
      <w:pPr>
        <w:pStyle w:val="ListBullet"/>
        <w:spacing w:after="80" w:line="276" w:lineRule="auto"/>
      </w:pPr>
      <w:r>
        <w:t>Konsulter, frilansare, egenföretagare och andra uppdragstagare.</w:t>
      </w:r>
    </w:p>
    <w:p>
      <w:pPr>
        <w:pStyle w:val="ListBullet"/>
        <w:spacing w:after="80" w:line="276" w:lineRule="auto"/>
      </w:pPr>
      <w:r>
        <w:t>Medarbetare hos leverantörer och underentreprenörer som utför arbete för vår räkning.</w:t>
      </w:r>
    </w:p>
    <w:p>
      <w:pPr>
        <w:pStyle w:val="ListBullet"/>
        <w:spacing w:after="80" w:line="276" w:lineRule="auto"/>
      </w:pPr>
      <w:r>
        <w:t>Personer som ingår i företagets förvaltnings-, lednings- eller tillsynsorgan (t.ex. styrelseledamöter).</w:t>
      </w:r>
    </w:p>
    <w:p>
      <w:pPr>
        <w:spacing w:after="160" w:line="276" w:lineRule="auto"/>
      </w:pPr>
      <w:r>
        <w:rPr>
          <w:i w:val="0"/>
        </w:rPr>
        <w:t>Skyddet gäller även om rapporteringen sker innan arbetet har påbörjats (t.ex. under rekryteringsprocessen) eller efter att anställningen eller uppdraget har avslutats.</w:t>
      </w:r>
    </w:p>
    <w:p>
      <w:pPr>
        <w:keepNext/>
        <w:spacing w:before="360" w:after="160"/>
      </w:pPr>
      <w:r>
        <w:rPr>
          <w:b/>
          <w:color w:val="0F7A5C"/>
          <w:sz w:val="28"/>
        </w:rPr>
        <w:t>3. Vad kan rapporteras?</w:t>
      </w:r>
    </w:p>
    <w:p>
      <w:pPr>
        <w:spacing w:after="160" w:line="276" w:lineRule="auto"/>
      </w:pPr>
      <w:r>
        <w:rPr>
          <w:i w:val="0"/>
        </w:rPr>
        <w:t>Lagen och denna policy är till för rapportering av missförhållanden i ett arbetsrelaterat sammanhang som det finns ett allmänintresse av att de kommer fram. Det handlar om allvarliga oegentligheter som angår en bredare allmänhet och inte enbart den rapporterande personens egna arbets- eller anställningsförhållanden.</w:t>
      </w:r>
    </w:p>
    <w:p>
      <w:pPr>
        <w:spacing w:after="160" w:line="276" w:lineRule="auto"/>
      </w:pPr>
      <w:r>
        <w:rPr>
          <w:i w:val="0"/>
        </w:rPr>
        <w:t>Exempel på missförhållanden som bör rapporteras:</w:t>
      </w:r>
    </w:p>
    <w:p>
      <w:pPr>
        <w:pStyle w:val="ListBullet"/>
        <w:spacing w:after="80" w:line="276" w:lineRule="auto"/>
      </w:pPr>
      <w:r>
        <w:t>Ekonomisk brottslighet, korruption, mutor, stöld, bedrägeri eller intressekonflikter.</w:t>
      </w:r>
    </w:p>
    <w:p>
      <w:pPr>
        <w:pStyle w:val="ListBullet"/>
        <w:spacing w:after="80" w:line="276" w:lineRule="auto"/>
      </w:pPr>
      <w:r>
        <w:t>Systematiska brott mot arbetsmiljölagstiftning, kollektivavtal eller säkerhetsföreskrifter.</w:t>
      </w:r>
    </w:p>
    <w:p>
      <w:pPr>
        <w:pStyle w:val="ListBullet"/>
        <w:spacing w:after="80" w:line="276" w:lineRule="auto"/>
      </w:pPr>
      <w:r>
        <w:t>Överträdelser av miljölagstiftning, produktsäkerhet, livsmedelssäkerhet eller konsumentskydd.</w:t>
      </w:r>
    </w:p>
    <w:p>
      <w:pPr>
        <w:pStyle w:val="ListBullet"/>
        <w:spacing w:after="80" w:line="276" w:lineRule="auto"/>
      </w:pPr>
      <w:r>
        <w:t>Allvarliga former av diskriminering, trakasserier eller missbruk av ställning.</w:t>
      </w:r>
    </w:p>
    <w:p>
      <w:pPr>
        <w:pStyle w:val="ListBullet"/>
        <w:spacing w:after="80" w:line="276" w:lineRule="auto"/>
      </w:pPr>
      <w:r>
        <w:t>Medvetet mörkläggande eller underlåtenhet att åtgärda ovanstående missförhållanden.</w:t>
      </w:r>
    </w:p>
    <w:p>
      <w:pPr>
        <w:spacing w:after="160" w:line="276" w:lineRule="auto"/>
      </w:pPr>
      <w:r>
        <w:rPr>
          <w:b/>
        </w:rPr>
        <w:t xml:space="preserve">Viktig avgränsning: </w:t>
      </w:r>
      <w:r>
        <w:rPr>
          <w:i/>
        </w:rPr>
        <w:t>Frågor som enbart rör den rapporterande personens personliga arbetssituation (t.ex. personligt missnöje med lön, enskilda samarbetssvårigheter eller resursfördelning) utgör i regel inte ett allmänintresse och omfattas därför inte av denna visselblåsarpolicy. Sådana ärenden ska istället hanteras via ordinarie kanaler såsom närmaste chef, HR eller facklig representant.</w:t>
      </w:r>
    </w:p>
    <w:p>
      <w:pPr>
        <w:keepNext/>
        <w:spacing w:before="360" w:after="160"/>
      </w:pPr>
      <w:r>
        <w:rPr>
          <w:b/>
          <w:color w:val="0F7A5C"/>
          <w:sz w:val="28"/>
        </w:rPr>
        <w:t>4. Hur rapporterar man?</w:t>
      </w:r>
    </w:p>
    <w:p>
      <w:pPr>
        <w:spacing w:after="160" w:line="276" w:lineRule="auto"/>
      </w:pPr>
      <w:r>
        <w:rPr>
          <w:i w:val="0"/>
        </w:rPr>
        <w:t>Rapportering kan göras antingen genom [Företagsnamn]s interna rapporteringskanal, eller externt direkt till behöriga myndigheter.</w:t>
      </w:r>
    </w:p>
    <w:p>
      <w:pPr>
        <w:keepNext/>
        <w:spacing w:before="240" w:after="120"/>
      </w:pPr>
      <w:r>
        <w:rPr>
          <w:b/>
          <w:color w:val="B3862F"/>
          <w:sz w:val="24"/>
        </w:rPr>
        <w:t>A. Intern rapportering (Novro secure whistleblowing portal)</w:t>
      </w:r>
    </w:p>
    <w:p>
      <w:pPr>
        <w:spacing w:after="160" w:line="276" w:lineRule="auto"/>
      </w:pPr>
      <w:r>
        <w:rPr>
          <w:i w:val="0"/>
        </w:rPr>
        <w:t>[Företagsnamn] tillhandahåller en säker, krypterad och helt oberoende rapporteringskanal som tillhandahålls via systemet Novro. Detta system garanterar högsta sekretess och anonymitet.</w:t>
      </w:r>
    </w:p>
    <w:p>
      <w:pPr>
        <w:pStyle w:val="ListBullet"/>
        <w:spacing w:after="80" w:line="276" w:lineRule="auto"/>
      </w:pPr>
      <w:r>
        <w:rPr>
          <w:b/>
        </w:rPr>
        <w:t>Digital rapportering</w:t>
      </w:r>
      <w:r>
        <w:t xml:space="preserve"> – Rapportering görs via webbportalen på följande länk: [Kopiera och klistra in er unika rapporteringslänk från Novro-plattformen, t.ex. https://app.novro.se/whistle/foretagsnamn]</w:t>
      </w:r>
    </w:p>
    <w:p>
      <w:pPr>
        <w:pStyle w:val="ListBullet"/>
        <w:spacing w:after="80" w:line="276" w:lineRule="auto"/>
      </w:pPr>
      <w:r>
        <w:rPr>
          <w:b/>
        </w:rPr>
        <w:t>Anonymitet</w:t>
      </w:r>
      <w:r>
        <w:t xml:space="preserve"> – Du kan välja att rapportera helt anonymt. Novros system sparar inga IP-adresser, metadata eller enhetsinformation som kan kopplas till dig. Du får ett unikt ärendenummer och lösenord som du kan använda för att kommunicera med utredaren anonymt i portalen.</w:t>
      </w:r>
    </w:p>
    <w:p>
      <w:pPr>
        <w:pStyle w:val="ListBullet"/>
        <w:spacing w:after="80" w:line="276" w:lineRule="auto"/>
      </w:pPr>
      <w:r>
        <w:rPr>
          <w:b/>
        </w:rPr>
        <w:t>Format</w:t>
      </w:r>
      <w:r>
        <w:t xml:space="preserve"> – Du kan lämna din rapport skriftligen via ett webbformulär eller muntligen genom en inbyggd ljudinspelning. Du har även rätt att begära ett personligt möte (fysiskt eller digitalt) för att rapportera ett missförhållande.</w:t>
      </w:r>
    </w:p>
    <w:p>
      <w:pPr>
        <w:keepNext/>
        <w:spacing w:before="240" w:after="120"/>
      </w:pPr>
      <w:r>
        <w:rPr>
          <w:b/>
          <w:color w:val="B3862F"/>
          <w:sz w:val="24"/>
        </w:rPr>
        <w:t>B. Extern rapportering till myndigheter</w:t>
      </w:r>
    </w:p>
    <w:p>
      <w:pPr>
        <w:spacing w:after="160" w:line="276" w:lineRule="auto"/>
      </w:pPr>
      <w:r>
        <w:rPr>
          <w:i w:val="0"/>
        </w:rPr>
        <w:t>Du har även rätt att rapportera externt direkt till en myndighet (t.ex. Arbetsmiljöverket, Skatteverket, Finansinspektionen eller Konkurrensverket) som regeringen har utsett som behöriga myndigheter för visselblåsning. Du behöver inte först ha rapporterat internt för att omfattas av lagens skydd.</w:t>
      </w:r>
    </w:p>
    <w:p>
      <w:pPr>
        <w:keepNext/>
        <w:spacing w:before="360" w:after="160"/>
      </w:pPr>
      <w:r>
        <w:rPr>
          <w:b/>
          <w:color w:val="0F7A5C"/>
          <w:sz w:val="28"/>
        </w:rPr>
        <w:t>5. Mottagning och handläggning</w:t>
      </w:r>
    </w:p>
    <w:p>
      <w:pPr>
        <w:spacing w:after="160" w:line="276" w:lineRule="auto"/>
      </w:pPr>
      <w:r>
        <w:rPr>
          <w:i w:val="0"/>
        </w:rPr>
        <w:t>För att säkerställa en opartisk och professionell hantering har [Företagsnamn] utsett oberoende och behöriga handläggare som tar emot och utreder ärendena.</w:t>
      </w:r>
    </w:p>
    <w:p>
      <w:pPr>
        <w:spacing w:after="160" w:line="276" w:lineRule="auto"/>
      </w:pPr>
      <w:r>
        <w:rPr>
          <w:i w:val="0"/>
        </w:rPr>
        <w:t>När en rapport skickas in sker följande steg:</w:t>
      </w:r>
    </w:p>
    <w:p>
      <w:pPr>
        <w:pStyle w:val="ListBullet"/>
        <w:spacing w:after="80" w:line="276" w:lineRule="auto"/>
      </w:pPr>
      <w:r>
        <w:rPr>
          <w:b/>
        </w:rPr>
        <w:t>1. Mottagningsbekräftelse</w:t>
      </w:r>
      <w:r>
        <w:t xml:space="preserve"> – Visselblåsaren får en bekräftelse på att rapporten har tagits emot inom 7 dagar (förutsatt att rapporten inte skickats in utan kontaktväg).</w:t>
      </w:r>
    </w:p>
    <w:p>
      <w:pPr>
        <w:pStyle w:val="ListBullet"/>
        <w:spacing w:after="80" w:line="276" w:lineRule="auto"/>
      </w:pPr>
      <w:r>
        <w:rPr>
          <w:b/>
        </w:rPr>
        <w:t>2. Utredning och utvärdering</w:t>
      </w:r>
      <w:r>
        <w:t xml:space="preserve"> – De behöriga utredarna gör en första bedömning om ärendet faller inom lagens ramar. Om så är fallet inleds en utredning. Utredaren kan ställa uppföljande frågor anonymt till visselblåsaren via Novro-portalen.</w:t>
      </w:r>
    </w:p>
    <w:p>
      <w:pPr>
        <w:pStyle w:val="ListBullet"/>
        <w:spacing w:after="80" w:line="276" w:lineRule="auto"/>
      </w:pPr>
      <w:r>
        <w:rPr>
          <w:b/>
        </w:rPr>
        <w:t>3. Återkoppling</w:t>
      </w:r>
      <w:r>
        <w:t xml:space="preserve"> – Inom skälig tid, och senast 3 månader från mottagningsbekräftelsen, ska visselblåsaren få återkoppling om vilka åtgärder som vidtagits eller planeras till följd av rapporten.</w:t>
      </w:r>
    </w:p>
    <w:p>
      <w:pPr>
        <w:keepNext/>
        <w:spacing w:before="360" w:after="160"/>
      </w:pPr>
      <w:r>
        <w:rPr>
          <w:b/>
          <w:color w:val="0F7A5C"/>
          <w:sz w:val="28"/>
        </w:rPr>
        <w:t>6. Skydd mot repressalier</w:t>
      </w:r>
    </w:p>
    <w:p>
      <w:pPr>
        <w:spacing w:after="160" w:line="276" w:lineRule="auto"/>
      </w:pPr>
      <w:r>
        <w:rPr>
          <w:i w:val="0"/>
        </w:rPr>
        <w:t>[Företagsnamn] tolererar inga repressalier mot personer som rapporterar i god tro. Det är olagligt och utgör ett allvarligt policybrott att utsätta en visselblåsare för negativa konsekvenser på grund av rapporteringen.</w:t>
      </w:r>
    </w:p>
    <w:p>
      <w:pPr>
        <w:spacing w:after="160" w:line="276" w:lineRule="auto"/>
      </w:pPr>
      <w:r>
        <w:rPr>
          <w:i w:val="0"/>
        </w:rPr>
        <w:t>Detta innebär att du inte kan drabbas av disciplinära åtgärder, uppsägning, omplacering, utebliven löneutveckling, trakasserier eller diskriminering. Skyddet mot repressalier gäller även personer som bistår visselblåsaren (t.ex. kollegor eller fackliga representanter) samt företag som visselblåsaren äger eller arbetar för.</w:t>
      </w:r>
    </w:p>
    <w:p>
      <w:pPr>
        <w:keepNext/>
        <w:spacing w:before="360" w:after="160"/>
      </w:pPr>
      <w:r>
        <w:rPr>
          <w:b/>
          <w:color w:val="0F7A5C"/>
          <w:sz w:val="28"/>
        </w:rPr>
        <w:t>7. Sekretess och personuppgifter (GDPR)</w:t>
      </w:r>
    </w:p>
    <w:p>
      <w:pPr>
        <w:spacing w:after="160" w:line="276" w:lineRule="auto"/>
      </w:pPr>
      <w:r>
        <w:rPr>
          <w:i w:val="0"/>
        </w:rPr>
        <w:t>Alla inkomna ärenden behandlas med strikt sekretess. Identiteten på visselblåsaren samt andra personer som nämns i rapporten skyddas av tystnadsplikt och kommer inte att lämnas ut till obehöriga eller till de personer som anklagas.</w:t>
      </w:r>
    </w:p>
    <w:p>
      <w:pPr>
        <w:spacing w:after="160" w:line="276" w:lineRule="auto"/>
      </w:pPr>
      <w:r>
        <w:rPr>
          <w:i w:val="0"/>
        </w:rPr>
        <w:t>Personuppgifter som samlas in inom ramen för ett ärende hanteras i enlighet med dataskyddsförordningen (GDPR). Uppgifter raderas eller avidentifieras så snart ärendet har avslutats och slututretts, normalt inom två år, såvida inte rättsliga skäl kräver att uppgifterna sparas längre.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324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